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D3" w:rsidRPr="001C7F26" w:rsidRDefault="00C753D3" w:rsidP="00C753D3">
      <w:pPr>
        <w:jc w:val="center"/>
        <w:rPr>
          <w:rFonts w:eastAsia="Calibri"/>
          <w:b/>
        </w:rPr>
      </w:pPr>
      <w:r w:rsidRPr="001C7F26">
        <w:rPr>
          <w:rFonts w:eastAsia="Calibri"/>
          <w:b/>
        </w:rPr>
        <w:t xml:space="preserve">T.C. </w:t>
      </w:r>
    </w:p>
    <w:p w:rsidR="00C753D3" w:rsidRPr="001C7F26" w:rsidRDefault="00C753D3" w:rsidP="00C753D3">
      <w:pPr>
        <w:jc w:val="center"/>
        <w:rPr>
          <w:rFonts w:eastAsia="Calibri"/>
          <w:b/>
        </w:rPr>
      </w:pPr>
      <w:r w:rsidRPr="001C7F26">
        <w:rPr>
          <w:rFonts w:eastAsia="Calibri"/>
          <w:b/>
        </w:rPr>
        <w:t xml:space="preserve">ESKİŞEHİR OSMANGAZİ ÜNİVERSİTESİ </w:t>
      </w:r>
    </w:p>
    <w:p w:rsidR="00C753D3" w:rsidRPr="001C7F26" w:rsidRDefault="00C753D3" w:rsidP="00C753D3">
      <w:pPr>
        <w:jc w:val="center"/>
        <w:rPr>
          <w:rFonts w:eastAsia="Calibri"/>
          <w:b/>
        </w:rPr>
      </w:pPr>
      <w:r w:rsidRPr="001C7F26">
        <w:rPr>
          <w:rFonts w:eastAsia="Calibri"/>
          <w:b/>
        </w:rPr>
        <w:t>YÜKSEK LİSANS VE DOKTORA/SANATTA YETERLİK YILIN TEZİ ÖDÜLLERİNİ BELİRLEME USUL VE ESASLARI</w:t>
      </w:r>
    </w:p>
    <w:p w:rsidR="00C753D3" w:rsidRPr="001C7F26" w:rsidRDefault="00C753D3" w:rsidP="00C753D3">
      <w:pPr>
        <w:spacing w:before="120" w:after="120"/>
        <w:jc w:val="both"/>
        <w:rPr>
          <w:rFonts w:eastAsia="Calibri"/>
          <w:b/>
        </w:rPr>
      </w:pPr>
      <w:r w:rsidRPr="001C7F26">
        <w:rPr>
          <w:rFonts w:eastAsia="Calibri"/>
          <w:b/>
        </w:rPr>
        <w:t>Amaç</w:t>
      </w:r>
    </w:p>
    <w:p w:rsidR="00C753D3" w:rsidRPr="001C7F26" w:rsidRDefault="00C753D3" w:rsidP="00C753D3">
      <w:pPr>
        <w:spacing w:before="120" w:after="120"/>
        <w:jc w:val="both"/>
        <w:rPr>
          <w:rFonts w:eastAsia="Calibri"/>
        </w:rPr>
      </w:pPr>
      <w:r w:rsidRPr="001C7F26">
        <w:rPr>
          <w:rFonts w:eastAsia="Calibri"/>
          <w:b/>
        </w:rPr>
        <w:t xml:space="preserve">Madde 1. </w:t>
      </w:r>
      <w:r w:rsidRPr="001C7F26">
        <w:rPr>
          <w:rFonts w:eastAsia="Calibri"/>
          <w:bCs/>
        </w:rPr>
        <w:t>Bu usul ve esasların amacı</w:t>
      </w:r>
      <w:r w:rsidRPr="001C7F26">
        <w:rPr>
          <w:rFonts w:eastAsia="Calibri"/>
          <w:b/>
        </w:rPr>
        <w:t xml:space="preserve"> </w:t>
      </w:r>
      <w:r w:rsidRPr="001C7F26">
        <w:rPr>
          <w:rFonts w:eastAsia="Calibri"/>
        </w:rPr>
        <w:t xml:space="preserve">Eskişehir Osmangazi Üniversitesi’ne bağlı Enstitülerde yürütülen lisansüstü tezlerin ve tezlerden üretilen bilimsel çıktıların niteliklerinin arttırılması yönünde danışman ve öğrencileri teşvik etmek ve başarılı çalışmaları takdir etmek amacı ile verilecek olan “Yüksek Lisans ve Doktora/Sanatta Yeterlik Yılın Tezi Ödülleri” kapsamındaki düzenlemeleri tanımlamaktır.  </w:t>
      </w:r>
    </w:p>
    <w:p w:rsidR="00C753D3" w:rsidRPr="001C7F26" w:rsidRDefault="00C753D3" w:rsidP="00C753D3">
      <w:pPr>
        <w:spacing w:before="120" w:after="120"/>
        <w:jc w:val="both"/>
        <w:rPr>
          <w:rFonts w:eastAsia="Calibri"/>
          <w:b/>
          <w:bCs/>
        </w:rPr>
      </w:pPr>
      <w:r w:rsidRPr="001C7F26">
        <w:rPr>
          <w:rFonts w:eastAsia="Calibri"/>
          <w:b/>
          <w:bCs/>
        </w:rPr>
        <w:t>Kapsam</w:t>
      </w:r>
    </w:p>
    <w:p w:rsidR="00C753D3" w:rsidRPr="001C7F26" w:rsidRDefault="00C753D3" w:rsidP="00C753D3">
      <w:pPr>
        <w:spacing w:before="120" w:after="120"/>
        <w:jc w:val="both"/>
        <w:rPr>
          <w:rFonts w:eastAsia="Calibri"/>
        </w:rPr>
      </w:pPr>
      <w:r w:rsidRPr="001C7F26">
        <w:rPr>
          <w:rFonts w:eastAsia="Calibri"/>
          <w:b/>
          <w:bCs/>
        </w:rPr>
        <w:t xml:space="preserve">Madde 2. </w:t>
      </w:r>
      <w:r w:rsidRPr="001C7F26">
        <w:rPr>
          <w:rFonts w:eastAsia="Calibri"/>
        </w:rPr>
        <w:t>Bu usul ve esaslar Eskişehir Osmangazi Üniversitesi tarafından her yıl Yüksek Lisans ve Doktora/Sanatta Yeterlik Tezleri için verilecek olan ödüllere başvuru ve değerlendirme süreçlerine ilişkin yöntem ve esasları kapsar.</w:t>
      </w:r>
    </w:p>
    <w:p w:rsidR="00C753D3" w:rsidRPr="001C7F26" w:rsidRDefault="00C753D3" w:rsidP="00C753D3">
      <w:pPr>
        <w:spacing w:before="120" w:after="120"/>
        <w:jc w:val="both"/>
        <w:rPr>
          <w:rFonts w:eastAsia="Calibri"/>
          <w:b/>
        </w:rPr>
      </w:pPr>
      <w:r w:rsidRPr="001C7F26">
        <w:rPr>
          <w:rFonts w:eastAsia="Calibri"/>
          <w:b/>
        </w:rPr>
        <w:t>Dayanak</w:t>
      </w:r>
    </w:p>
    <w:p w:rsidR="00C753D3" w:rsidRPr="001C7F26" w:rsidRDefault="00C753D3" w:rsidP="00C753D3">
      <w:pPr>
        <w:spacing w:before="120" w:after="120"/>
        <w:jc w:val="both"/>
        <w:rPr>
          <w:rFonts w:eastAsia="Calibri"/>
          <w:b/>
        </w:rPr>
      </w:pPr>
      <w:r w:rsidRPr="001C7F26">
        <w:rPr>
          <w:rFonts w:eastAsia="Calibri"/>
          <w:b/>
        </w:rPr>
        <w:t xml:space="preserve">Madde 3. </w:t>
      </w:r>
      <w:r w:rsidRPr="001C7F26">
        <w:rPr>
          <w:rFonts w:eastAsia="Calibri"/>
        </w:rPr>
        <w:t xml:space="preserve">Bu usul ve esaslar Eskişehir Osmangazi Üniversitesi Senatosunun 21.10.2021 tarih ve 13320152-050.02.04-31/01 sayılı kararı ile kabul edilen “Eskişehir Osmangazi Üniversitesi Ödül Yönergesi” </w:t>
      </w:r>
      <w:proofErr w:type="spellStart"/>
      <w:r w:rsidRPr="001C7F26">
        <w:rPr>
          <w:rFonts w:eastAsia="Calibri"/>
        </w:rPr>
        <w:t>nin</w:t>
      </w:r>
      <w:proofErr w:type="spellEnd"/>
      <w:r w:rsidRPr="001C7F26">
        <w:rPr>
          <w:rFonts w:eastAsia="Calibri"/>
        </w:rPr>
        <w:t xml:space="preserve"> 4 üncü maddesinin 10 uncu bendi ve 7 </w:t>
      </w:r>
      <w:proofErr w:type="spellStart"/>
      <w:r w:rsidRPr="001C7F26">
        <w:rPr>
          <w:rFonts w:eastAsia="Calibri"/>
        </w:rPr>
        <w:t>nci</w:t>
      </w:r>
      <w:proofErr w:type="spellEnd"/>
      <w:r w:rsidRPr="001C7F26">
        <w:rPr>
          <w:rFonts w:eastAsia="Calibri"/>
        </w:rPr>
        <w:t xml:space="preserve"> maddesi uyarınca hazırlanmıştır. </w:t>
      </w:r>
    </w:p>
    <w:p w:rsidR="00C753D3" w:rsidRPr="001C7F26" w:rsidRDefault="00C753D3" w:rsidP="00C753D3">
      <w:pPr>
        <w:spacing w:before="120" w:after="120"/>
        <w:jc w:val="both"/>
        <w:rPr>
          <w:rFonts w:eastAsia="Calibri"/>
          <w:b/>
        </w:rPr>
      </w:pPr>
      <w:r w:rsidRPr="001C7F26">
        <w:rPr>
          <w:rFonts w:eastAsia="Calibri"/>
          <w:b/>
        </w:rPr>
        <w:t>Temel İlkeler ve Ödül Değerlendirme Komisyonu</w:t>
      </w:r>
    </w:p>
    <w:p w:rsidR="00C753D3" w:rsidRPr="001C7F26" w:rsidRDefault="00C753D3" w:rsidP="00C753D3">
      <w:pPr>
        <w:spacing w:before="120" w:after="120"/>
        <w:jc w:val="both"/>
        <w:rPr>
          <w:rFonts w:eastAsia="Calibri"/>
        </w:rPr>
      </w:pPr>
      <w:r w:rsidRPr="001C7F26">
        <w:rPr>
          <w:rFonts w:eastAsia="Calibri"/>
          <w:b/>
        </w:rPr>
        <w:t xml:space="preserve">Madde 4.  </w:t>
      </w:r>
      <w:r w:rsidRPr="001C7F26">
        <w:rPr>
          <w:rFonts w:eastAsia="Calibri"/>
        </w:rPr>
        <w:t>Ödüller her bir Enstitü için ayrı olmak üzere yılın Yüksek Lisans ve Doktora/Sanatta Yeterlik tezlerine verilir.</w:t>
      </w:r>
    </w:p>
    <w:p w:rsidR="00C753D3" w:rsidRPr="001C7F26" w:rsidRDefault="00C753D3" w:rsidP="00C753D3">
      <w:pPr>
        <w:spacing w:before="120" w:after="120"/>
        <w:jc w:val="both"/>
        <w:rPr>
          <w:rFonts w:eastAsia="Calibri"/>
        </w:rPr>
      </w:pPr>
      <w:r w:rsidRPr="001C7F26">
        <w:rPr>
          <w:rFonts w:eastAsia="Calibri"/>
          <w:b/>
        </w:rPr>
        <w:t xml:space="preserve">Madde 5.  </w:t>
      </w:r>
      <w:r w:rsidRPr="001C7F26">
        <w:rPr>
          <w:rFonts w:eastAsia="Calibri"/>
        </w:rPr>
        <w:t xml:space="preserve">Enstitü Yönetim Kurulu başvuruları değerlendirmek üzere Enstitü bünyesindeki programların yer aldığı alanları gözeterek beş asıl iki yedek öğretim üyesinden oluşan ödül değerlendirme komisyonunu belirler.  </w:t>
      </w:r>
    </w:p>
    <w:p w:rsidR="00C753D3" w:rsidRPr="001C7F26" w:rsidRDefault="00C753D3" w:rsidP="00C753D3">
      <w:pPr>
        <w:spacing w:before="120" w:after="120"/>
        <w:jc w:val="both"/>
        <w:rPr>
          <w:rFonts w:eastAsia="Calibri"/>
        </w:rPr>
      </w:pPr>
      <w:r w:rsidRPr="001C7F26">
        <w:rPr>
          <w:rFonts w:eastAsia="Calibri"/>
          <w:b/>
          <w:bCs/>
        </w:rPr>
        <w:t>Madde 6.</w:t>
      </w:r>
      <w:r w:rsidRPr="001C7F26">
        <w:rPr>
          <w:rFonts w:eastAsia="Calibri"/>
        </w:rPr>
        <w:t xml:space="preserve"> Başvurular arasındaki tezlerde, bir öğretim üyesinin danışman, eş danışman, Tez İzleme Komitesi üyesi olarak bulunması veya tezden üretilen bir yayında yazar olarak yer alması durumunda ilgili öğretim üyesi ödül değerlendirme komisyonunda yer alamaz. </w:t>
      </w:r>
    </w:p>
    <w:p w:rsidR="00C753D3" w:rsidRPr="001C7F26" w:rsidRDefault="00C753D3" w:rsidP="00C753D3">
      <w:pPr>
        <w:spacing w:before="120" w:after="120"/>
        <w:jc w:val="both"/>
        <w:rPr>
          <w:rFonts w:eastAsia="Calibri"/>
        </w:rPr>
      </w:pPr>
      <w:r w:rsidRPr="001C7F26">
        <w:rPr>
          <w:rFonts w:eastAsia="Calibri"/>
          <w:b/>
          <w:bCs/>
        </w:rPr>
        <w:t>Madde 7.</w:t>
      </w:r>
      <w:r w:rsidRPr="001C7F26">
        <w:rPr>
          <w:rFonts w:eastAsia="Calibri"/>
        </w:rPr>
        <w:tab/>
        <w:t xml:space="preserve">Komisyon üyeleri değerlendirme süreçlerini ve komisyon toplantılarını koordine etmesi amacı ile kendi arasında bir öğretim üyesini Komisyon başkanı olarak seçerler.  </w:t>
      </w:r>
    </w:p>
    <w:p w:rsidR="00C753D3" w:rsidRPr="001C7F26" w:rsidRDefault="00C753D3" w:rsidP="00C753D3">
      <w:pPr>
        <w:spacing w:before="120" w:after="120"/>
        <w:jc w:val="both"/>
        <w:rPr>
          <w:rFonts w:eastAsia="Calibri"/>
        </w:rPr>
      </w:pPr>
      <w:r w:rsidRPr="001C7F26">
        <w:rPr>
          <w:rFonts w:eastAsia="Calibri"/>
          <w:b/>
        </w:rPr>
        <w:t xml:space="preserve">Madde 8. </w:t>
      </w:r>
      <w:r w:rsidRPr="001C7F26">
        <w:rPr>
          <w:rFonts w:eastAsia="Calibri"/>
        </w:rPr>
        <w:t>Ödül Değerlendirme Komisyonunun ilgili yıldaki başvurular arasında ödüle layık tezin olmadığını değerlendirmesi durumunda söz konusu ödül verilmez.</w:t>
      </w:r>
    </w:p>
    <w:p w:rsidR="00C753D3" w:rsidRPr="001C7F26" w:rsidRDefault="00C753D3" w:rsidP="00C753D3">
      <w:pPr>
        <w:spacing w:before="120" w:after="120"/>
        <w:jc w:val="both"/>
        <w:rPr>
          <w:rFonts w:eastAsia="Calibri"/>
        </w:rPr>
      </w:pPr>
      <w:r w:rsidRPr="001C7F26">
        <w:rPr>
          <w:rFonts w:eastAsia="Calibri"/>
          <w:b/>
        </w:rPr>
        <w:t>Başvuru Süreci ve Koşullar</w:t>
      </w:r>
    </w:p>
    <w:p w:rsidR="00C753D3" w:rsidRPr="001C7F26" w:rsidRDefault="00C753D3" w:rsidP="00C753D3">
      <w:pPr>
        <w:spacing w:before="120" w:after="120"/>
        <w:jc w:val="both"/>
        <w:rPr>
          <w:rFonts w:eastAsia="Calibri"/>
          <w:b/>
        </w:rPr>
      </w:pPr>
      <w:r w:rsidRPr="001C7F26">
        <w:rPr>
          <w:rFonts w:eastAsia="Calibri"/>
          <w:b/>
        </w:rPr>
        <w:t xml:space="preserve">Madde 9. </w:t>
      </w:r>
      <w:r w:rsidRPr="001C7F26">
        <w:rPr>
          <w:rFonts w:eastAsia="Calibri"/>
        </w:rPr>
        <w:t xml:space="preserve">Başvurular Madde 13’te verilen ödül takvimine göre yapılır. </w:t>
      </w:r>
    </w:p>
    <w:p w:rsidR="00C753D3" w:rsidRPr="001C7F26" w:rsidRDefault="00C753D3" w:rsidP="00C753D3">
      <w:pPr>
        <w:numPr>
          <w:ilvl w:val="0"/>
          <w:numId w:val="1"/>
        </w:numPr>
        <w:spacing w:before="120" w:after="120" w:line="240" w:lineRule="auto"/>
        <w:ind w:left="709" w:hanging="349"/>
        <w:jc w:val="both"/>
        <w:rPr>
          <w:rFonts w:eastAsia="Calibri"/>
        </w:rPr>
      </w:pPr>
      <w:r w:rsidRPr="001C7F26">
        <w:rPr>
          <w:rFonts w:eastAsia="Calibri"/>
        </w:rPr>
        <w:t xml:space="preserve">Tezin başvurunun yapıldığı yıldan bir önceki takvim yılı (01 Ocak-31 Aralık) içerisinde tamamlanarak Enstitü Yönetim Kurulu tarafından onaylanmış ve ulusal tez merkezine tez veri girişinin yapılmış olması gerekir. </w:t>
      </w:r>
    </w:p>
    <w:p w:rsidR="00C753D3" w:rsidRPr="001C7F26" w:rsidRDefault="00C753D3" w:rsidP="00C753D3">
      <w:pPr>
        <w:numPr>
          <w:ilvl w:val="0"/>
          <w:numId w:val="1"/>
        </w:numPr>
        <w:spacing w:before="120" w:after="120" w:line="240" w:lineRule="auto"/>
        <w:ind w:left="709" w:hanging="349"/>
        <w:jc w:val="both"/>
        <w:rPr>
          <w:rFonts w:eastAsia="Calibri"/>
        </w:rPr>
      </w:pPr>
      <w:r w:rsidRPr="001C7F26">
        <w:rPr>
          <w:rFonts w:eastAsia="Calibri"/>
        </w:rPr>
        <w:t xml:space="preserve">Bir tez için sadece Enstitü Yönetim Kurulu tarafından onaylandığı takvim yılını takip eden yılda başvuru hakkı vardır.  </w:t>
      </w:r>
    </w:p>
    <w:p w:rsidR="00C753D3" w:rsidRPr="001C7F26" w:rsidRDefault="00C753D3" w:rsidP="00C753D3">
      <w:pPr>
        <w:numPr>
          <w:ilvl w:val="0"/>
          <w:numId w:val="1"/>
        </w:numPr>
        <w:spacing w:before="120" w:after="120" w:line="240" w:lineRule="auto"/>
        <w:ind w:left="709" w:hanging="349"/>
        <w:jc w:val="both"/>
        <w:rPr>
          <w:rFonts w:eastAsia="Calibri"/>
        </w:rPr>
      </w:pPr>
      <w:r w:rsidRPr="001C7F26">
        <w:rPr>
          <w:rFonts w:eastAsia="Calibri"/>
        </w:rPr>
        <w:t>Başvurular öğrenci ve danışman(</w:t>
      </w:r>
      <w:proofErr w:type="spellStart"/>
      <w:r w:rsidRPr="001C7F26">
        <w:rPr>
          <w:rFonts w:eastAsia="Calibri"/>
        </w:rPr>
        <w:t>lar</w:t>
      </w:r>
      <w:proofErr w:type="spellEnd"/>
      <w:r w:rsidRPr="001C7F26">
        <w:rPr>
          <w:rFonts w:eastAsia="Calibri"/>
        </w:rPr>
        <w:t>)</w:t>
      </w:r>
      <w:proofErr w:type="spellStart"/>
      <w:r w:rsidRPr="001C7F26">
        <w:rPr>
          <w:rFonts w:eastAsia="Calibri"/>
        </w:rPr>
        <w:t>ın</w:t>
      </w:r>
      <w:proofErr w:type="spellEnd"/>
      <w:r w:rsidRPr="001C7F26">
        <w:rPr>
          <w:rFonts w:eastAsia="Calibri"/>
        </w:rPr>
        <w:t xml:space="preserve"> hazırlayacağı ve Madde 12’de tanımlanan başvuru dosyası ile şahsen ilgili Enstitüye yapılır. </w:t>
      </w:r>
    </w:p>
    <w:p w:rsidR="00C753D3" w:rsidRPr="001C7F26" w:rsidRDefault="00C753D3" w:rsidP="00C753D3">
      <w:pPr>
        <w:spacing w:before="120" w:after="120"/>
        <w:jc w:val="both"/>
        <w:rPr>
          <w:rFonts w:eastAsia="Calibri"/>
          <w:b/>
          <w:bCs/>
        </w:rPr>
      </w:pPr>
    </w:p>
    <w:p w:rsidR="00C753D3" w:rsidRPr="001C7F26" w:rsidRDefault="00C753D3" w:rsidP="00C753D3">
      <w:pPr>
        <w:spacing w:before="120" w:after="120"/>
        <w:jc w:val="both"/>
        <w:rPr>
          <w:rFonts w:eastAsia="Calibri"/>
        </w:rPr>
      </w:pPr>
      <w:r w:rsidRPr="001C7F26">
        <w:rPr>
          <w:rFonts w:eastAsia="Calibri"/>
          <w:b/>
          <w:bCs/>
        </w:rPr>
        <w:lastRenderedPageBreak/>
        <w:t>Ödül Değerlendirme Komisyonunun</w:t>
      </w:r>
      <w:r w:rsidRPr="001C7F26">
        <w:rPr>
          <w:rFonts w:eastAsia="Calibri"/>
        </w:rPr>
        <w:t xml:space="preserve"> </w:t>
      </w:r>
      <w:r w:rsidRPr="001C7F26">
        <w:rPr>
          <w:rFonts w:eastAsia="Calibri"/>
          <w:b/>
        </w:rPr>
        <w:t>Oluşturulması</w:t>
      </w:r>
    </w:p>
    <w:p w:rsidR="00C753D3" w:rsidRPr="001C7F26" w:rsidRDefault="00C753D3" w:rsidP="00C753D3">
      <w:pPr>
        <w:spacing w:before="120" w:after="120"/>
        <w:jc w:val="both"/>
        <w:rPr>
          <w:rFonts w:eastAsia="Calibri"/>
        </w:rPr>
      </w:pPr>
      <w:r w:rsidRPr="001C7F26">
        <w:rPr>
          <w:rFonts w:eastAsia="Calibri"/>
          <w:b/>
        </w:rPr>
        <w:t xml:space="preserve">Madde 10.  </w:t>
      </w:r>
      <w:r w:rsidRPr="001C7F26">
        <w:rPr>
          <w:rFonts w:eastAsia="Calibri"/>
        </w:rPr>
        <w:t xml:space="preserve">Başvuru süreci tamamlandıktan sonra, Madde 5’te tanımlandığı şekilde Yüksek Lisans ve Doktora/Sanatta Yeterlik Yılın Tezi Ödülleri başvurularını değerlendirmek üzere Ödül Değerlendirme Komisyonunda yer alacak öğretim üyeleri belirlenir.   </w:t>
      </w:r>
    </w:p>
    <w:p w:rsidR="00C753D3" w:rsidRPr="001C7F26" w:rsidRDefault="00C753D3" w:rsidP="00C753D3">
      <w:pPr>
        <w:spacing w:before="120" w:after="120"/>
        <w:jc w:val="both"/>
        <w:rPr>
          <w:rFonts w:eastAsia="Calibri"/>
          <w:b/>
        </w:rPr>
      </w:pPr>
      <w:r w:rsidRPr="001C7F26">
        <w:rPr>
          <w:rFonts w:eastAsia="Calibri"/>
          <w:b/>
        </w:rPr>
        <w:t xml:space="preserve">Değerlendirme Süreci ve Ölçütleri </w:t>
      </w:r>
    </w:p>
    <w:p w:rsidR="00C753D3" w:rsidRPr="001C7F26" w:rsidRDefault="00C753D3" w:rsidP="00C753D3">
      <w:pPr>
        <w:spacing w:before="120" w:after="120"/>
        <w:jc w:val="both"/>
        <w:rPr>
          <w:rFonts w:eastAsia="Calibri"/>
        </w:rPr>
      </w:pPr>
      <w:r w:rsidRPr="001C7F26">
        <w:rPr>
          <w:rFonts w:eastAsia="Calibri"/>
          <w:b/>
        </w:rPr>
        <w:t>Madde 11.</w:t>
      </w:r>
      <w:r w:rsidRPr="001C7F26">
        <w:rPr>
          <w:rFonts w:eastAsia="Calibri"/>
        </w:rPr>
        <w:t xml:space="preserve">  Değerlendirme Enstitü Yönetim Kurulunun belirlemiş olduğu Ödül Değerlendirme Komisyonunda yer alan öğretim üyeleri tarafından yapılır. Değerlendirme sürecinde ilgili Enstitü Kurulu tarafından belirlenmiş olan Değerlendirme Kriterleri ve Puanlama </w:t>
      </w:r>
      <w:proofErr w:type="spellStart"/>
      <w:r w:rsidRPr="001C7F26">
        <w:rPr>
          <w:rFonts w:eastAsia="Calibri"/>
        </w:rPr>
        <w:t>Tablosu’na</w:t>
      </w:r>
      <w:proofErr w:type="spellEnd"/>
      <w:r w:rsidRPr="001C7F26">
        <w:rPr>
          <w:rFonts w:eastAsia="Calibri"/>
        </w:rPr>
        <w:t xml:space="preserve"> göre puanlama yapılır. Ödül Değerlendirme Komisyonu Tez Çalışması ve çıktılarını, varsa değerlendirme </w:t>
      </w:r>
      <w:proofErr w:type="gramStart"/>
      <w:r w:rsidRPr="001C7F26">
        <w:rPr>
          <w:rFonts w:eastAsia="Calibri"/>
        </w:rPr>
        <w:t>kriterlerinde</w:t>
      </w:r>
      <w:proofErr w:type="gramEnd"/>
      <w:r w:rsidRPr="001C7F26">
        <w:rPr>
          <w:rFonts w:eastAsia="Calibri"/>
        </w:rPr>
        <w:t xml:space="preserve"> yer almayan çıktılara ait belgeleri de göz önünde bulundurarak, tezi Yaygın Etki ve Özgün Değer kapsamında da değerlendirerek bir değerlendirme puanı verir. Bu değerlendirme puanı da ilgili Enstitü Kurulu tarafından belirlenmiş olan Değerlendirme Kriterleri ve Puanlama </w:t>
      </w:r>
      <w:proofErr w:type="spellStart"/>
      <w:r w:rsidRPr="001C7F26">
        <w:rPr>
          <w:rFonts w:eastAsia="Calibri"/>
        </w:rPr>
        <w:t>Tablosu’nda</w:t>
      </w:r>
      <w:proofErr w:type="spellEnd"/>
      <w:r w:rsidRPr="001C7F26">
        <w:rPr>
          <w:rFonts w:eastAsia="Calibri"/>
        </w:rPr>
        <w:t xml:space="preserve"> belirtilir.  </w:t>
      </w:r>
    </w:p>
    <w:p w:rsidR="00C753D3" w:rsidRPr="001C7F26" w:rsidRDefault="00C753D3" w:rsidP="00C753D3">
      <w:pPr>
        <w:spacing w:before="120" w:after="120"/>
        <w:jc w:val="both"/>
        <w:rPr>
          <w:rFonts w:eastAsia="Calibri"/>
          <w:b/>
        </w:rPr>
      </w:pPr>
      <w:r w:rsidRPr="001C7F26">
        <w:rPr>
          <w:rFonts w:eastAsia="Calibri"/>
          <w:b/>
        </w:rPr>
        <w:t>Başvuru için Gerekli Belgeler</w:t>
      </w:r>
    </w:p>
    <w:p w:rsidR="00C753D3" w:rsidRPr="001C7F26" w:rsidRDefault="00C753D3" w:rsidP="00C753D3">
      <w:pPr>
        <w:spacing w:before="120" w:after="120"/>
        <w:jc w:val="both"/>
        <w:rPr>
          <w:rFonts w:eastAsia="Calibri"/>
        </w:rPr>
      </w:pPr>
      <w:r w:rsidRPr="001C7F26">
        <w:rPr>
          <w:rFonts w:eastAsia="Calibri"/>
          <w:b/>
        </w:rPr>
        <w:t>Madde 12.</w:t>
      </w:r>
      <w:r w:rsidRPr="001C7F26">
        <w:rPr>
          <w:rFonts w:eastAsia="Calibri"/>
        </w:rPr>
        <w:t xml:space="preserve"> Başvuruda bulunacak öğrenci ve danışman(</w:t>
      </w:r>
      <w:proofErr w:type="spellStart"/>
      <w:r w:rsidRPr="001C7F26">
        <w:rPr>
          <w:rFonts w:eastAsia="Calibri"/>
        </w:rPr>
        <w:t>lar</w:t>
      </w:r>
      <w:proofErr w:type="spellEnd"/>
      <w:r w:rsidRPr="001C7F26">
        <w:rPr>
          <w:rFonts w:eastAsia="Calibri"/>
        </w:rPr>
        <w:t xml:space="preserve">) ilgili Enstitü için ilan edilen Değerlendirme Kriterleri ve Puanlama </w:t>
      </w:r>
      <w:proofErr w:type="spellStart"/>
      <w:r w:rsidRPr="001C7F26">
        <w:rPr>
          <w:rFonts w:eastAsia="Calibri"/>
        </w:rPr>
        <w:t>Tablosu’nda</w:t>
      </w:r>
      <w:proofErr w:type="spellEnd"/>
      <w:r w:rsidRPr="001C7F26">
        <w:rPr>
          <w:rFonts w:eastAsia="Calibri"/>
        </w:rPr>
        <w:t xml:space="preserve"> belirtilen başlıklara uygun olarak sıralı şekilde hazırlanan ve gerekli belge/kanıtları içeren bir </w:t>
      </w:r>
      <w:r w:rsidRPr="001C7F26">
        <w:rPr>
          <w:rFonts w:eastAsia="Calibri"/>
          <w:b/>
          <w:bCs/>
        </w:rPr>
        <w:t>başvuru dosyası</w:t>
      </w:r>
      <w:r w:rsidRPr="001C7F26">
        <w:rPr>
          <w:rFonts w:eastAsia="Calibri"/>
        </w:rPr>
        <w:t xml:space="preserve"> sunmalıdır. Bunlara ek olarak, başvuru dosyasında bulunması gereken diğer belgeler aşağıda sıralanmıştır:</w:t>
      </w:r>
    </w:p>
    <w:p w:rsidR="00C753D3" w:rsidRPr="001C7F26" w:rsidRDefault="00C753D3" w:rsidP="00C753D3">
      <w:pPr>
        <w:numPr>
          <w:ilvl w:val="0"/>
          <w:numId w:val="2"/>
        </w:numPr>
        <w:spacing w:before="120" w:after="120" w:line="240" w:lineRule="auto"/>
        <w:ind w:left="709" w:hanging="349"/>
        <w:jc w:val="both"/>
        <w:rPr>
          <w:rFonts w:eastAsia="Calibri"/>
        </w:rPr>
      </w:pPr>
      <w:r w:rsidRPr="001C7F26">
        <w:rPr>
          <w:rFonts w:eastAsia="Calibri"/>
        </w:rPr>
        <w:t>Başvuru Formu</w:t>
      </w:r>
    </w:p>
    <w:p w:rsidR="00C753D3" w:rsidRPr="001C7F26" w:rsidRDefault="00C753D3" w:rsidP="00C753D3">
      <w:pPr>
        <w:numPr>
          <w:ilvl w:val="0"/>
          <w:numId w:val="2"/>
        </w:numPr>
        <w:spacing w:before="120" w:after="120" w:line="240" w:lineRule="auto"/>
        <w:ind w:left="709" w:hanging="349"/>
        <w:jc w:val="both"/>
        <w:rPr>
          <w:rFonts w:eastAsia="Calibri"/>
        </w:rPr>
      </w:pPr>
      <w:r w:rsidRPr="001C7F26">
        <w:rPr>
          <w:rFonts w:eastAsia="Calibri"/>
        </w:rPr>
        <w:t xml:space="preserve">Beyan Mektubu (Beyan mektubu, ilgili Enstitü için bu usul ve esaslarda tanımlanan değerlendirme </w:t>
      </w:r>
      <w:proofErr w:type="gramStart"/>
      <w:r w:rsidRPr="001C7F26">
        <w:rPr>
          <w:rFonts w:eastAsia="Calibri"/>
        </w:rPr>
        <w:t>kriterleri</w:t>
      </w:r>
      <w:proofErr w:type="gramEnd"/>
      <w:r w:rsidRPr="001C7F26">
        <w:rPr>
          <w:rFonts w:eastAsia="Calibri"/>
        </w:rPr>
        <w:t xml:space="preserve"> de göz önünde bulundurularak danışman(</w:t>
      </w:r>
      <w:proofErr w:type="spellStart"/>
      <w:r w:rsidRPr="001C7F26">
        <w:rPr>
          <w:rFonts w:eastAsia="Calibri"/>
        </w:rPr>
        <w:t>lar</w:t>
      </w:r>
      <w:proofErr w:type="spellEnd"/>
      <w:r w:rsidRPr="001C7F26">
        <w:rPr>
          <w:rFonts w:eastAsia="Calibri"/>
        </w:rPr>
        <w:t>) ve öğrenci tarafından hazırlanıp imzalanan, tezin neden ödüle aday görüldüğünü ve öğrenci ile danışman(</w:t>
      </w:r>
      <w:proofErr w:type="spellStart"/>
      <w:r w:rsidRPr="001C7F26">
        <w:rPr>
          <w:rFonts w:eastAsia="Calibri"/>
        </w:rPr>
        <w:t>lar</w:t>
      </w:r>
      <w:proofErr w:type="spellEnd"/>
      <w:r w:rsidRPr="001C7F26">
        <w:rPr>
          <w:rFonts w:eastAsia="Calibri"/>
        </w:rPr>
        <w:t>)</w:t>
      </w:r>
      <w:proofErr w:type="spellStart"/>
      <w:r w:rsidRPr="001C7F26">
        <w:rPr>
          <w:rFonts w:eastAsia="Calibri"/>
        </w:rPr>
        <w:t>ın</w:t>
      </w:r>
      <w:proofErr w:type="spellEnd"/>
      <w:r w:rsidRPr="001C7F26">
        <w:rPr>
          <w:rFonts w:eastAsia="Calibri"/>
        </w:rPr>
        <w:t xml:space="preserve"> başvuruya dair motivasyonunu tanımlar.)</w:t>
      </w:r>
    </w:p>
    <w:p w:rsidR="00C753D3" w:rsidRPr="001C7F26" w:rsidRDefault="00C753D3" w:rsidP="00C753D3">
      <w:pPr>
        <w:numPr>
          <w:ilvl w:val="0"/>
          <w:numId w:val="2"/>
        </w:numPr>
        <w:spacing w:before="120" w:after="120" w:line="240" w:lineRule="auto"/>
        <w:ind w:left="709" w:hanging="349"/>
        <w:jc w:val="both"/>
        <w:rPr>
          <w:rFonts w:eastAsia="Calibri"/>
        </w:rPr>
      </w:pPr>
      <w:r w:rsidRPr="001C7F26">
        <w:rPr>
          <w:rFonts w:eastAsia="Calibri"/>
        </w:rPr>
        <w:t>Ciltlenmiş Tezin bir kopyası</w:t>
      </w:r>
    </w:p>
    <w:p w:rsidR="00C753D3" w:rsidRPr="001C7F26" w:rsidRDefault="00C753D3" w:rsidP="00C753D3">
      <w:pPr>
        <w:numPr>
          <w:ilvl w:val="0"/>
          <w:numId w:val="2"/>
        </w:numPr>
        <w:spacing w:before="120" w:after="120" w:line="240" w:lineRule="auto"/>
        <w:ind w:left="709" w:hanging="349"/>
        <w:jc w:val="both"/>
        <w:rPr>
          <w:rFonts w:eastAsia="Calibri"/>
        </w:rPr>
      </w:pPr>
      <w:r w:rsidRPr="001C7F26">
        <w:rPr>
          <w:rFonts w:eastAsia="Calibri"/>
        </w:rPr>
        <w:t>Tezin CD/DVD ortamında elektronik kopyası</w:t>
      </w:r>
    </w:p>
    <w:p w:rsidR="00C753D3" w:rsidRPr="001C7F26" w:rsidRDefault="00C753D3" w:rsidP="00C753D3">
      <w:pPr>
        <w:numPr>
          <w:ilvl w:val="0"/>
          <w:numId w:val="2"/>
        </w:numPr>
        <w:spacing w:before="120" w:after="120" w:line="240" w:lineRule="auto"/>
        <w:ind w:left="709" w:hanging="349"/>
        <w:jc w:val="both"/>
        <w:rPr>
          <w:rFonts w:eastAsia="Calibri"/>
        </w:rPr>
      </w:pPr>
      <w:r w:rsidRPr="001C7F26">
        <w:rPr>
          <w:rFonts w:eastAsia="Calibri"/>
        </w:rPr>
        <w:t>Değerlendirmeyle ilgili olabilecek diğer belgeler ve kanıtlar.</w:t>
      </w:r>
    </w:p>
    <w:p w:rsidR="00C753D3" w:rsidRPr="001C7F26" w:rsidRDefault="00C753D3" w:rsidP="00C753D3">
      <w:pPr>
        <w:spacing w:before="120" w:after="120"/>
        <w:jc w:val="both"/>
        <w:rPr>
          <w:rFonts w:eastAsia="Calibri"/>
          <w:b/>
        </w:rPr>
      </w:pPr>
      <w:r w:rsidRPr="001C7F26">
        <w:rPr>
          <w:rFonts w:eastAsia="Calibri"/>
          <w:b/>
        </w:rPr>
        <w:t>Ödül Başvuru ve Değerlendirme Takvimi</w:t>
      </w:r>
    </w:p>
    <w:p w:rsidR="00C753D3" w:rsidRPr="001C7F26" w:rsidRDefault="00C753D3" w:rsidP="00C753D3">
      <w:pPr>
        <w:spacing w:before="120" w:after="120"/>
        <w:jc w:val="both"/>
        <w:rPr>
          <w:rFonts w:eastAsia="Calibri"/>
          <w:bCs/>
        </w:rPr>
      </w:pPr>
      <w:r w:rsidRPr="001C7F26">
        <w:rPr>
          <w:rFonts w:eastAsia="Calibri"/>
          <w:b/>
        </w:rPr>
        <w:t xml:space="preserve">Madde 13. </w:t>
      </w:r>
      <w:r w:rsidRPr="001C7F26">
        <w:rPr>
          <w:rFonts w:eastAsia="Calibri"/>
          <w:bCs/>
        </w:rPr>
        <w:t>Adaylık başvuruları her yıl için, o yılı takip eden 01 Ocak-31 Ocak tarihleri arasında ilgili Enstitüye yapılır. Enstitü Yönetim Kurulları Enstitü ile ilgili süreçleri içeren Ödül Başvuru ve Değerlendirme Takviminde değişiklik yapma hakkına sahiptir. Değerlendirme süreci aşağıda verilen takvime göre gerçekleşir:</w:t>
      </w:r>
    </w:p>
    <w:p w:rsidR="00C753D3" w:rsidRPr="001C7F26" w:rsidRDefault="00C753D3" w:rsidP="00C753D3">
      <w:pPr>
        <w:numPr>
          <w:ilvl w:val="0"/>
          <w:numId w:val="3"/>
        </w:numPr>
        <w:tabs>
          <w:tab w:val="left" w:pos="567"/>
        </w:tabs>
        <w:spacing w:before="120" w:after="120" w:line="240" w:lineRule="auto"/>
        <w:ind w:left="426" w:hanging="284"/>
        <w:jc w:val="both"/>
        <w:rPr>
          <w:rFonts w:eastAsia="Calibri"/>
          <w:bCs/>
        </w:rPr>
      </w:pPr>
      <w:r w:rsidRPr="001C7F26">
        <w:rPr>
          <w:rFonts w:eastAsia="Calibri"/>
        </w:rPr>
        <w:t xml:space="preserve">Ödül Değerlendirme Komisyonunun </w:t>
      </w:r>
      <w:r w:rsidRPr="001C7F26">
        <w:rPr>
          <w:rFonts w:eastAsia="Calibri"/>
          <w:bCs/>
        </w:rPr>
        <w:t xml:space="preserve">belirlenmesi ve adayların başvuru dosyalarının </w:t>
      </w:r>
      <w:r w:rsidRPr="001C7F26">
        <w:rPr>
          <w:rFonts w:eastAsia="Calibri"/>
        </w:rPr>
        <w:t xml:space="preserve">Ödül Değerlendirme Komisyonuna </w:t>
      </w:r>
      <w:r w:rsidRPr="001C7F26">
        <w:rPr>
          <w:rFonts w:eastAsia="Calibri"/>
          <w:bCs/>
        </w:rPr>
        <w:t>iletilmesi: 01-10 Şubat</w:t>
      </w:r>
    </w:p>
    <w:p w:rsidR="00C753D3" w:rsidRPr="001C7F26" w:rsidRDefault="00C753D3" w:rsidP="00C753D3">
      <w:pPr>
        <w:numPr>
          <w:ilvl w:val="0"/>
          <w:numId w:val="3"/>
        </w:numPr>
        <w:tabs>
          <w:tab w:val="left" w:pos="567"/>
        </w:tabs>
        <w:spacing w:before="120" w:after="120" w:line="240" w:lineRule="auto"/>
        <w:ind w:left="426" w:hanging="284"/>
        <w:jc w:val="both"/>
        <w:rPr>
          <w:rFonts w:eastAsia="Calibri"/>
          <w:bCs/>
        </w:rPr>
      </w:pPr>
      <w:r w:rsidRPr="001C7F26">
        <w:rPr>
          <w:rFonts w:eastAsia="Calibri"/>
        </w:rPr>
        <w:t xml:space="preserve">Ödül Değerlendirme Komisyonunun </w:t>
      </w:r>
      <w:r w:rsidRPr="001C7F26">
        <w:rPr>
          <w:rFonts w:eastAsia="Calibri"/>
          <w:bCs/>
        </w:rPr>
        <w:t>Yüksek Lisans ve Doktora/Sanatta Yeterlik Yılın Tezi Ödülleri için önerilerini Enstitüye sunması: 15 Mart</w:t>
      </w:r>
    </w:p>
    <w:p w:rsidR="00C753D3" w:rsidRPr="001C7F26" w:rsidRDefault="00C753D3" w:rsidP="00C753D3">
      <w:pPr>
        <w:numPr>
          <w:ilvl w:val="0"/>
          <w:numId w:val="3"/>
        </w:numPr>
        <w:tabs>
          <w:tab w:val="left" w:pos="567"/>
        </w:tabs>
        <w:spacing w:before="120" w:after="120" w:line="240" w:lineRule="auto"/>
        <w:ind w:left="426" w:hanging="284"/>
        <w:jc w:val="both"/>
        <w:rPr>
          <w:rFonts w:eastAsia="Calibri"/>
          <w:bCs/>
        </w:rPr>
      </w:pPr>
      <w:r w:rsidRPr="001C7F26">
        <w:rPr>
          <w:rFonts w:eastAsia="Calibri"/>
          <w:bCs/>
        </w:rPr>
        <w:t>Enstitü tarafından Yüksek Lisans ve Doktora/Sanatta Yeterlik Yılın Tezi Ödüllerine hak kazananların Bilim ve Araştırma Politikaları Kurulu’na bildirilmesi: 25 Mart</w:t>
      </w:r>
    </w:p>
    <w:p w:rsidR="00C753D3" w:rsidRPr="001C7F26" w:rsidRDefault="00C753D3" w:rsidP="00C753D3">
      <w:pPr>
        <w:numPr>
          <w:ilvl w:val="0"/>
          <w:numId w:val="3"/>
        </w:numPr>
        <w:tabs>
          <w:tab w:val="left" w:pos="567"/>
        </w:tabs>
        <w:spacing w:before="120" w:after="120" w:line="240" w:lineRule="auto"/>
        <w:ind w:left="426" w:hanging="284"/>
        <w:jc w:val="both"/>
        <w:rPr>
          <w:rFonts w:eastAsia="Calibri"/>
          <w:bCs/>
        </w:rPr>
      </w:pPr>
      <w:r w:rsidRPr="001C7F26">
        <w:rPr>
          <w:rFonts w:eastAsia="Calibri"/>
          <w:bCs/>
        </w:rPr>
        <w:t xml:space="preserve">Ödül takdim töreni: </w:t>
      </w:r>
      <w:r w:rsidRPr="001C7F26">
        <w:rPr>
          <w:rFonts w:eastAsia="Calibri"/>
        </w:rPr>
        <w:t>Eskişehir Osmangazi Üniversitesi</w:t>
      </w:r>
      <w:r w:rsidRPr="001C7F26">
        <w:rPr>
          <w:rFonts w:eastAsia="Calibri"/>
          <w:bCs/>
        </w:rPr>
        <w:t xml:space="preserve"> Rektörlüğü tarafından belirlenen yer ve zamanda </w:t>
      </w:r>
    </w:p>
    <w:p w:rsidR="00C753D3" w:rsidRPr="001C7F26" w:rsidRDefault="00C753D3" w:rsidP="00C753D3">
      <w:pPr>
        <w:spacing w:before="120" w:after="120"/>
        <w:jc w:val="both"/>
        <w:rPr>
          <w:rFonts w:eastAsia="Calibri"/>
          <w:b/>
        </w:rPr>
      </w:pPr>
      <w:r w:rsidRPr="001C7F26">
        <w:rPr>
          <w:rFonts w:eastAsia="Calibri"/>
          <w:b/>
        </w:rPr>
        <w:t>Ödül ve Ödülün Onaylanması</w:t>
      </w:r>
    </w:p>
    <w:p w:rsidR="00C753D3" w:rsidRPr="001C7F26" w:rsidRDefault="00C753D3" w:rsidP="00C753D3">
      <w:pPr>
        <w:spacing w:before="120" w:after="120"/>
        <w:jc w:val="both"/>
        <w:rPr>
          <w:rFonts w:eastAsia="Calibri"/>
        </w:rPr>
      </w:pPr>
      <w:r w:rsidRPr="001C7F26">
        <w:rPr>
          <w:rFonts w:eastAsia="Calibri"/>
          <w:b/>
        </w:rPr>
        <w:lastRenderedPageBreak/>
        <w:t>Madde 14.</w:t>
      </w:r>
      <w:r w:rsidRPr="001C7F26">
        <w:rPr>
          <w:rFonts w:eastAsia="Calibri"/>
        </w:rPr>
        <w:t xml:space="preserve"> Ödülü kazanan yüksek lisans ve doktora/sanatta yeterlik tezleri Ödül Değerlendirme Komisyonu </w:t>
      </w:r>
      <w:r w:rsidRPr="001C7F26">
        <w:rPr>
          <w:rFonts w:eastAsia="Calibri"/>
          <w:bCs/>
        </w:rPr>
        <w:t>tarafından belirlendikten sonra Komisyon başkanı tarafından komisyon üyelerinin de onayını içeren bir rapor ile ilgili Enstitü Yönetim Kuruluna sunulur. Yüksek Lisans ve Doktora/Sanatta Yeterlik Yılın Tezi Ödüllerine hak kazananlar Enstitü Yönetim Kurulu onayı sonrası Rektörlüğe sunulmak üzere Bilim ve Araştırma Politikaları Kurulu’na ödül takvimine uygun olarak bildirilir.</w:t>
      </w:r>
      <w:r w:rsidRPr="001C7F26">
        <w:rPr>
          <w:rFonts w:eastAsia="Calibri"/>
        </w:rPr>
        <w:t xml:space="preserve"> </w:t>
      </w:r>
    </w:p>
    <w:p w:rsidR="00C753D3" w:rsidRPr="001C7F26" w:rsidRDefault="00C753D3" w:rsidP="00C753D3">
      <w:pPr>
        <w:spacing w:before="120" w:after="120"/>
        <w:jc w:val="both"/>
        <w:rPr>
          <w:rFonts w:eastAsia="Calibri"/>
        </w:rPr>
      </w:pPr>
      <w:r w:rsidRPr="001C7F26">
        <w:rPr>
          <w:rFonts w:eastAsia="Calibri"/>
          <w:b/>
        </w:rPr>
        <w:t>Madde 15.</w:t>
      </w:r>
      <w:r w:rsidRPr="001C7F26">
        <w:rPr>
          <w:rFonts w:eastAsia="Calibri"/>
        </w:rPr>
        <w:t xml:space="preserve"> Ödül kazanan tezi hazırlayan öğrenci, danışman ve varsa eş danışmana ödülü açıklayıcı bilgiler içeren birer </w:t>
      </w:r>
      <w:proofErr w:type="gramStart"/>
      <w:r w:rsidRPr="001C7F26">
        <w:rPr>
          <w:rFonts w:eastAsia="Calibri"/>
        </w:rPr>
        <w:t>plaket</w:t>
      </w:r>
      <w:proofErr w:type="gramEnd"/>
      <w:r w:rsidRPr="001C7F26">
        <w:rPr>
          <w:rFonts w:eastAsia="Calibri"/>
        </w:rPr>
        <w:t xml:space="preserve"> ve ödül belgesi verilir. </w:t>
      </w:r>
    </w:p>
    <w:p w:rsidR="00C753D3" w:rsidRPr="001C7F26" w:rsidRDefault="00C753D3" w:rsidP="00C753D3">
      <w:pPr>
        <w:spacing w:before="120" w:after="120"/>
        <w:jc w:val="both"/>
        <w:rPr>
          <w:rFonts w:eastAsia="Calibri"/>
          <w:b/>
          <w:bCs/>
        </w:rPr>
      </w:pPr>
    </w:p>
    <w:p w:rsidR="00C753D3" w:rsidRPr="001C7F26" w:rsidRDefault="00C753D3" w:rsidP="00C753D3">
      <w:pPr>
        <w:spacing w:before="120" w:after="120"/>
        <w:jc w:val="both"/>
        <w:rPr>
          <w:rFonts w:eastAsia="Calibri"/>
          <w:b/>
          <w:bCs/>
        </w:rPr>
      </w:pPr>
      <w:r w:rsidRPr="001C7F26">
        <w:rPr>
          <w:rFonts w:eastAsia="Calibri"/>
          <w:b/>
          <w:bCs/>
        </w:rPr>
        <w:t>Görev ve Sorumluluklar</w:t>
      </w:r>
    </w:p>
    <w:p w:rsidR="00C753D3" w:rsidRPr="001C7F26" w:rsidRDefault="00C753D3" w:rsidP="00C753D3">
      <w:pPr>
        <w:spacing w:before="120" w:after="120"/>
        <w:jc w:val="both"/>
        <w:rPr>
          <w:rFonts w:eastAsia="Calibri"/>
        </w:rPr>
      </w:pPr>
      <w:r w:rsidRPr="001C7F26">
        <w:rPr>
          <w:rFonts w:eastAsia="Calibri"/>
          <w:b/>
          <w:bCs/>
        </w:rPr>
        <w:t>Madde 16.</w:t>
      </w:r>
      <w:r w:rsidRPr="001C7F26">
        <w:rPr>
          <w:rFonts w:eastAsia="Calibri"/>
        </w:rPr>
        <w:tab/>
        <w:t>Eskişehir Osmangazi Üniversitesi Enstitüleri başvuru sürelerinin öğrencilere ve öğretim elemanlarına duyurulması, başvuru belgelerinin alınması, Ödül Değerlendirme Komisyonu için üyelerin belirlenmesi, değerlendirme aşamasında kullanılacak belgelerin Ödül Değerlendirme Komisyonu üyelerine iletilmesi ve ödüle hak kazananların Bilim ve Araştırma Politikaları Kurulu’na bildirilmesi hususlarında sorumludur.</w:t>
      </w:r>
      <w:r w:rsidRPr="001C7F26">
        <w:rPr>
          <w:rFonts w:eastAsia="Calibri"/>
        </w:rPr>
        <w:tab/>
      </w:r>
    </w:p>
    <w:p w:rsidR="00C753D3" w:rsidRPr="001C7F26" w:rsidRDefault="00C753D3" w:rsidP="00C753D3">
      <w:pPr>
        <w:spacing w:before="120" w:after="120"/>
        <w:jc w:val="both"/>
        <w:rPr>
          <w:rFonts w:eastAsia="Calibri"/>
          <w:b/>
        </w:rPr>
      </w:pPr>
      <w:r w:rsidRPr="001C7F26">
        <w:rPr>
          <w:rFonts w:eastAsia="Calibri"/>
          <w:b/>
        </w:rPr>
        <w:t>Hüküm Bulunmayan Durumlar</w:t>
      </w:r>
    </w:p>
    <w:p w:rsidR="00C753D3" w:rsidRDefault="00C753D3" w:rsidP="00C753D3">
      <w:pPr>
        <w:spacing w:before="120" w:after="120"/>
        <w:jc w:val="both"/>
        <w:rPr>
          <w:rFonts w:eastAsia="Calibri"/>
        </w:rPr>
      </w:pPr>
      <w:r w:rsidRPr="001C7F26">
        <w:rPr>
          <w:rFonts w:eastAsia="Calibri"/>
          <w:b/>
        </w:rPr>
        <w:t>Madde 17.</w:t>
      </w:r>
      <w:r w:rsidRPr="001C7F26">
        <w:rPr>
          <w:rFonts w:eastAsia="Calibri"/>
        </w:rPr>
        <w:t xml:space="preserve"> Bu Usul ve Esaslarda hüküm bulunmayan durumlar Enstitü Yönetim Kurulu’nda görüşüldükten sonra Senato onayı ile kesinleşir.</w:t>
      </w:r>
    </w:p>
    <w:p w:rsidR="00C753D3" w:rsidRDefault="00C753D3" w:rsidP="00C753D3">
      <w:pPr>
        <w:spacing w:before="120" w:after="120"/>
        <w:jc w:val="both"/>
        <w:rPr>
          <w:rFonts w:eastAsia="Calibri"/>
        </w:rPr>
      </w:pPr>
    </w:p>
    <w:p w:rsidR="00C753D3" w:rsidRPr="001C7F26" w:rsidRDefault="00C753D3" w:rsidP="00C753D3">
      <w:pPr>
        <w:spacing w:before="120" w:after="120"/>
        <w:jc w:val="both"/>
        <w:rPr>
          <w:rFonts w:eastAsia="Calibri"/>
        </w:rPr>
      </w:pPr>
    </w:p>
    <w:p w:rsidR="00C753D3" w:rsidRPr="001C7F26" w:rsidRDefault="00C753D3" w:rsidP="00C753D3">
      <w:pPr>
        <w:spacing w:before="120" w:after="120"/>
        <w:jc w:val="both"/>
        <w:rPr>
          <w:rFonts w:eastAsia="Calibri"/>
          <w:b/>
        </w:rPr>
      </w:pPr>
      <w:r w:rsidRPr="001C7F26">
        <w:rPr>
          <w:rFonts w:eastAsia="Calibri"/>
          <w:b/>
        </w:rPr>
        <w:t>Yürürlük</w:t>
      </w:r>
    </w:p>
    <w:p w:rsidR="00C753D3" w:rsidRPr="001C7F26" w:rsidRDefault="00C753D3" w:rsidP="00C753D3">
      <w:pPr>
        <w:spacing w:before="120" w:after="120"/>
        <w:jc w:val="both"/>
        <w:rPr>
          <w:rFonts w:eastAsia="Calibri"/>
        </w:rPr>
      </w:pPr>
      <w:r w:rsidRPr="001C7F26">
        <w:rPr>
          <w:rFonts w:eastAsia="Calibri"/>
          <w:b/>
        </w:rPr>
        <w:t xml:space="preserve">Madde 18. </w:t>
      </w:r>
      <w:r w:rsidRPr="001C7F26">
        <w:rPr>
          <w:rFonts w:eastAsia="Calibri"/>
        </w:rPr>
        <w:t>Bu Usul ve Esaslar Senato tarafından onaylandığı tarihte yürürlüğe girer.</w:t>
      </w:r>
    </w:p>
    <w:p w:rsidR="00C753D3" w:rsidRPr="001C7F26" w:rsidRDefault="00C753D3" w:rsidP="00C753D3">
      <w:pPr>
        <w:spacing w:before="120" w:after="120"/>
        <w:jc w:val="both"/>
        <w:rPr>
          <w:rFonts w:eastAsia="Calibri"/>
          <w:b/>
        </w:rPr>
      </w:pPr>
      <w:r w:rsidRPr="001C7F26">
        <w:rPr>
          <w:rFonts w:eastAsia="Calibri"/>
          <w:b/>
        </w:rPr>
        <w:t>Yürütme</w:t>
      </w:r>
    </w:p>
    <w:p w:rsidR="00DE4685" w:rsidRDefault="00C753D3" w:rsidP="00C753D3">
      <w:r w:rsidRPr="001C7F26">
        <w:rPr>
          <w:rFonts w:eastAsia="Calibri"/>
          <w:b/>
        </w:rPr>
        <w:t xml:space="preserve">Madde 19. </w:t>
      </w:r>
      <w:r w:rsidRPr="001C7F26">
        <w:rPr>
          <w:rFonts w:eastAsia="Calibri"/>
        </w:rPr>
        <w:t>Bu Usul ve Esasların hükümlerini Eskişehir Osmangazi Üniversitesi Rektörü yürütür.</w:t>
      </w:r>
      <w:bookmarkStart w:id="0" w:name="_GoBack"/>
      <w:bookmarkEnd w:id="0"/>
    </w:p>
    <w:sectPr w:rsidR="00DE4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06C92"/>
    <w:multiLevelType w:val="multilevel"/>
    <w:tmpl w:val="8D8CDB98"/>
    <w:lvl w:ilvl="0">
      <w:start w:val="1"/>
      <w:numFmt w:val="lowerLetter"/>
      <w:lvlText w:val="%1)"/>
      <w:lvlJc w:val="left"/>
      <w:pPr>
        <w:ind w:left="786" w:hanging="360"/>
      </w:pPr>
      <w:rPr>
        <w:rFonts w:hint="default"/>
      </w:rPr>
    </w:lvl>
    <w:lvl w:ilvl="1">
      <w:start w:val="1"/>
      <w:numFmt w:val="lowerRoman"/>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
    <w:nsid w:val="23D67B37"/>
    <w:multiLevelType w:val="multilevel"/>
    <w:tmpl w:val="8D8CDB9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1693F70"/>
    <w:multiLevelType w:val="hybridMultilevel"/>
    <w:tmpl w:val="E8860CDC"/>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D3"/>
    <w:rsid w:val="00C753D3"/>
    <w:rsid w:val="00DE46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D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D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2022-01-14T11:23:00Z</dcterms:created>
  <dcterms:modified xsi:type="dcterms:W3CDTF">2022-01-14T11:24:00Z</dcterms:modified>
</cp:coreProperties>
</file>